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F9E35" w14:textId="3BBB1E14" w:rsidR="003D2AA6" w:rsidRPr="003D2AA6" w:rsidRDefault="003D2AA6" w:rsidP="003D2AA6">
      <w:pPr>
        <w:spacing w:before="100" w:beforeAutospacing="1" w:after="100" w:afterAutospacing="1" w:line="240" w:lineRule="auto"/>
        <w:jc w:val="center"/>
        <w:outlineLvl w:val="2"/>
        <w:rPr>
          <w:rFonts w:eastAsia="Times New Roman" w:cstheme="minorHAnsi"/>
          <w:b/>
          <w:bCs/>
          <w:sz w:val="24"/>
          <w:szCs w:val="24"/>
        </w:rPr>
      </w:pPr>
      <w:r w:rsidRPr="003D2AA6">
        <w:rPr>
          <w:rFonts w:eastAsia="Times New Roman" w:cstheme="minorHAnsi"/>
          <w:b/>
          <w:bCs/>
          <w:sz w:val="24"/>
          <w:szCs w:val="24"/>
        </w:rPr>
        <w:t>Libreto Casos Prácticos de Conflictos de Interés en la Administración Pública</w:t>
      </w:r>
    </w:p>
    <w:tbl>
      <w:tblPr>
        <w:tblStyle w:val="Tablaconcuadrcula"/>
        <w:tblW w:w="13462" w:type="dxa"/>
        <w:tblLook w:val="04A0" w:firstRow="1" w:lastRow="0" w:firstColumn="1" w:lastColumn="0" w:noHBand="0" w:noVBand="1"/>
      </w:tblPr>
      <w:tblGrid>
        <w:gridCol w:w="3116"/>
        <w:gridCol w:w="8078"/>
        <w:gridCol w:w="2268"/>
      </w:tblGrid>
      <w:tr w:rsidR="003D2AA6" w:rsidRPr="003D2AA6" w14:paraId="7A5EE5D4" w14:textId="77777777" w:rsidTr="003D2AA6">
        <w:tc>
          <w:tcPr>
            <w:tcW w:w="3116" w:type="dxa"/>
          </w:tcPr>
          <w:p w14:paraId="6A9DB5D8" w14:textId="0EABAFAF" w:rsidR="003D2AA6" w:rsidRPr="003D2AA6" w:rsidRDefault="003D2AA6" w:rsidP="003D2AA6">
            <w:pPr>
              <w:spacing w:before="100" w:beforeAutospacing="1" w:after="100" w:afterAutospacing="1"/>
              <w:outlineLvl w:val="2"/>
              <w:rPr>
                <w:rFonts w:eastAsia="Times New Roman" w:cstheme="minorHAnsi"/>
                <w:b/>
                <w:bCs/>
                <w:sz w:val="24"/>
                <w:szCs w:val="24"/>
              </w:rPr>
            </w:pPr>
            <w:r w:rsidRPr="003D2AA6">
              <w:rPr>
                <w:rFonts w:eastAsia="Times New Roman" w:cstheme="minorHAnsi"/>
                <w:b/>
                <w:bCs/>
                <w:sz w:val="24"/>
                <w:szCs w:val="24"/>
              </w:rPr>
              <w:t>Visual</w:t>
            </w:r>
          </w:p>
        </w:tc>
        <w:tc>
          <w:tcPr>
            <w:tcW w:w="8078" w:type="dxa"/>
          </w:tcPr>
          <w:p w14:paraId="3F56091E" w14:textId="55FB686E" w:rsidR="003D2AA6" w:rsidRPr="003D2AA6" w:rsidRDefault="003D2AA6" w:rsidP="003D2AA6">
            <w:pPr>
              <w:spacing w:before="100" w:beforeAutospacing="1" w:after="100" w:afterAutospacing="1"/>
              <w:outlineLvl w:val="2"/>
              <w:rPr>
                <w:rFonts w:eastAsia="Times New Roman" w:cstheme="minorHAnsi"/>
                <w:b/>
                <w:bCs/>
                <w:sz w:val="24"/>
                <w:szCs w:val="24"/>
              </w:rPr>
            </w:pPr>
            <w:r w:rsidRPr="003D2AA6">
              <w:rPr>
                <w:rFonts w:eastAsia="Times New Roman" w:cstheme="minorHAnsi"/>
                <w:b/>
                <w:bCs/>
                <w:sz w:val="24"/>
                <w:szCs w:val="24"/>
              </w:rPr>
              <w:t>Libreto</w:t>
            </w:r>
          </w:p>
        </w:tc>
        <w:tc>
          <w:tcPr>
            <w:tcW w:w="2268" w:type="dxa"/>
          </w:tcPr>
          <w:p w14:paraId="62A8A215" w14:textId="4AA47258" w:rsidR="003D2AA6" w:rsidRPr="003D2AA6" w:rsidRDefault="003D2AA6" w:rsidP="003D2AA6">
            <w:pPr>
              <w:spacing w:before="100" w:beforeAutospacing="1" w:after="100" w:afterAutospacing="1"/>
              <w:outlineLvl w:val="2"/>
              <w:rPr>
                <w:rFonts w:eastAsia="Times New Roman" w:cstheme="minorHAnsi"/>
                <w:b/>
                <w:bCs/>
                <w:sz w:val="24"/>
                <w:szCs w:val="24"/>
              </w:rPr>
            </w:pPr>
            <w:proofErr w:type="spellStart"/>
            <w:r w:rsidRPr="003D2AA6">
              <w:rPr>
                <w:rFonts w:eastAsia="Times New Roman" w:cstheme="minorHAnsi"/>
                <w:b/>
                <w:bCs/>
                <w:sz w:val="24"/>
                <w:szCs w:val="24"/>
              </w:rPr>
              <w:t>Info</w:t>
            </w:r>
            <w:proofErr w:type="spellEnd"/>
            <w:r w:rsidRPr="003D2AA6">
              <w:rPr>
                <w:rFonts w:eastAsia="Times New Roman" w:cstheme="minorHAnsi"/>
                <w:b/>
                <w:bCs/>
                <w:sz w:val="24"/>
                <w:szCs w:val="24"/>
              </w:rPr>
              <w:t xml:space="preserve"> a destacar:</w:t>
            </w:r>
          </w:p>
        </w:tc>
      </w:tr>
      <w:tr w:rsidR="003D2AA6" w:rsidRPr="003D2AA6" w14:paraId="10345B72" w14:textId="77777777" w:rsidTr="003D2AA6">
        <w:tc>
          <w:tcPr>
            <w:tcW w:w="3116" w:type="dxa"/>
          </w:tcPr>
          <w:p w14:paraId="25A3ECEE" w14:textId="77777777" w:rsidR="003D2AA6" w:rsidRPr="003D2AA6" w:rsidRDefault="003D2AA6" w:rsidP="003D2AA6">
            <w:pPr>
              <w:spacing w:before="100" w:beforeAutospacing="1" w:after="100" w:afterAutospacing="1"/>
              <w:outlineLvl w:val="2"/>
              <w:rPr>
                <w:rFonts w:eastAsia="Times New Roman" w:cstheme="minorHAnsi"/>
                <w:sz w:val="24"/>
                <w:szCs w:val="24"/>
              </w:rPr>
            </w:pPr>
          </w:p>
        </w:tc>
        <w:tc>
          <w:tcPr>
            <w:tcW w:w="8078" w:type="dxa"/>
          </w:tcPr>
          <w:p w14:paraId="1CC52421" w14:textId="191A34E6" w:rsidR="003D2AA6" w:rsidRPr="003D2AA6" w:rsidRDefault="003D2AA6" w:rsidP="003D2AA6">
            <w:pPr>
              <w:spacing w:before="100" w:beforeAutospacing="1" w:after="100" w:afterAutospacing="1"/>
              <w:outlineLvl w:val="2"/>
              <w:rPr>
                <w:rFonts w:eastAsia="Times New Roman" w:cstheme="minorHAnsi"/>
                <w:sz w:val="24"/>
                <w:szCs w:val="24"/>
              </w:rPr>
            </w:pPr>
            <w:r w:rsidRPr="003D2AA6">
              <w:rPr>
                <w:rFonts w:eastAsia="Times New Roman" w:cstheme="minorHAnsi"/>
                <w:sz w:val="24"/>
                <w:szCs w:val="24"/>
              </w:rPr>
              <w:t>En la administración pública, los conflictos de interés pueden surgir en cualquier momento, afectando la imparcialidad y transparencia de nuestras decisiones. Hoy vamos a ver algunos casos prácticos de conflictos de interés y cómo identificarlos</w:t>
            </w:r>
          </w:p>
        </w:tc>
        <w:tc>
          <w:tcPr>
            <w:tcW w:w="2268" w:type="dxa"/>
          </w:tcPr>
          <w:p w14:paraId="5207CC45" w14:textId="77777777" w:rsidR="003D2AA6" w:rsidRPr="003D2AA6" w:rsidRDefault="003D2AA6" w:rsidP="003D2AA6">
            <w:pPr>
              <w:spacing w:before="100" w:beforeAutospacing="1" w:after="100" w:afterAutospacing="1"/>
              <w:outlineLvl w:val="2"/>
              <w:rPr>
                <w:rFonts w:eastAsia="Times New Roman" w:cstheme="minorHAnsi"/>
                <w:b/>
                <w:bCs/>
                <w:sz w:val="24"/>
                <w:szCs w:val="24"/>
              </w:rPr>
            </w:pPr>
          </w:p>
        </w:tc>
      </w:tr>
      <w:tr w:rsidR="003D2AA6" w:rsidRPr="003D2AA6" w14:paraId="3CDBA5B1" w14:textId="77777777" w:rsidTr="003D2AA6">
        <w:tc>
          <w:tcPr>
            <w:tcW w:w="3116" w:type="dxa"/>
          </w:tcPr>
          <w:p w14:paraId="43A4D8DD" w14:textId="69FEA638" w:rsidR="003D2AA6" w:rsidRPr="003D2AA6" w:rsidRDefault="003D2AA6" w:rsidP="003D2AA6">
            <w:pPr>
              <w:spacing w:before="100" w:beforeAutospacing="1" w:after="100" w:afterAutospacing="1"/>
              <w:outlineLvl w:val="2"/>
              <w:rPr>
                <w:rFonts w:eastAsia="Times New Roman" w:cstheme="minorHAnsi"/>
                <w:sz w:val="24"/>
                <w:szCs w:val="24"/>
              </w:rPr>
            </w:pPr>
            <w:r w:rsidRPr="003D2AA6">
              <w:rPr>
                <w:rFonts w:eastAsia="Times New Roman" w:cstheme="minorHAnsi"/>
                <w:sz w:val="24"/>
                <w:szCs w:val="24"/>
              </w:rPr>
              <w:t>Imágenes ilustrativas de un funcionario revisando contratos mientras se muestra una imagen de su familia o empresa vinculada a una licitación</w:t>
            </w:r>
          </w:p>
        </w:tc>
        <w:tc>
          <w:tcPr>
            <w:tcW w:w="8078" w:type="dxa"/>
          </w:tcPr>
          <w:p w14:paraId="262075D2" w14:textId="2D9E0F8F" w:rsidR="003D2AA6" w:rsidRPr="003D2AA6" w:rsidRDefault="003D2AA6" w:rsidP="003D2AA6">
            <w:pPr>
              <w:spacing w:before="100" w:beforeAutospacing="1" w:after="100" w:afterAutospacing="1"/>
              <w:outlineLvl w:val="2"/>
              <w:rPr>
                <w:rFonts w:eastAsia="Times New Roman" w:cstheme="minorHAnsi"/>
                <w:sz w:val="24"/>
                <w:szCs w:val="24"/>
              </w:rPr>
            </w:pPr>
            <w:r w:rsidRPr="003D2AA6">
              <w:rPr>
                <w:rFonts w:eastAsia="Times New Roman" w:cstheme="minorHAnsi"/>
                <w:sz w:val="24"/>
                <w:szCs w:val="24"/>
              </w:rPr>
              <w:t>Caso 1: Conflicto Real. Imagina que un servidor público tiene una empresa de construcción y, en su rol, debe tomar decisiones sobre una licitación para un proyecto de infraestructura. Aquí, su interés personal podría influir en la selección de su propia empresa, lo que genera un conflicto real.</w:t>
            </w:r>
          </w:p>
        </w:tc>
        <w:tc>
          <w:tcPr>
            <w:tcW w:w="2268" w:type="dxa"/>
          </w:tcPr>
          <w:p w14:paraId="4654C378" w14:textId="1EF5FAC4" w:rsidR="003D2AA6" w:rsidRPr="003D2AA6" w:rsidRDefault="003D2AA6" w:rsidP="003D2AA6">
            <w:pPr>
              <w:spacing w:before="100" w:beforeAutospacing="1" w:after="100" w:afterAutospacing="1"/>
              <w:outlineLvl w:val="2"/>
              <w:rPr>
                <w:rFonts w:eastAsia="Times New Roman" w:cstheme="minorHAnsi"/>
                <w:b/>
                <w:bCs/>
                <w:sz w:val="24"/>
                <w:szCs w:val="24"/>
              </w:rPr>
            </w:pPr>
            <w:r w:rsidRPr="003D2AA6">
              <w:rPr>
                <w:rFonts w:eastAsia="Times New Roman" w:cstheme="minorHAnsi"/>
                <w:sz w:val="24"/>
                <w:szCs w:val="24"/>
              </w:rPr>
              <w:t>Conflicto Real</w:t>
            </w:r>
          </w:p>
        </w:tc>
      </w:tr>
      <w:tr w:rsidR="003D2AA6" w:rsidRPr="003D2AA6" w14:paraId="0AE1071D" w14:textId="77777777" w:rsidTr="003D2AA6">
        <w:tc>
          <w:tcPr>
            <w:tcW w:w="3116" w:type="dxa"/>
          </w:tcPr>
          <w:p w14:paraId="51703BA2" w14:textId="10B49A24" w:rsidR="003D2AA6" w:rsidRPr="003D2AA6" w:rsidRDefault="003D2AA6" w:rsidP="003D2AA6">
            <w:pPr>
              <w:spacing w:before="100" w:beforeAutospacing="1" w:after="100" w:afterAutospacing="1"/>
              <w:outlineLvl w:val="2"/>
              <w:rPr>
                <w:rFonts w:eastAsia="Times New Roman" w:cstheme="minorHAnsi"/>
                <w:sz w:val="24"/>
                <w:szCs w:val="24"/>
              </w:rPr>
            </w:pPr>
            <w:r w:rsidRPr="003D2AA6">
              <w:rPr>
                <w:rFonts w:eastAsia="Times New Roman" w:cstheme="minorHAnsi"/>
                <w:sz w:val="24"/>
                <w:szCs w:val="24"/>
              </w:rPr>
              <w:t>Imágenes de un funcionario revisando posibles contratos futuros y una imagen de una empresa con la que tiene relaciones cercanas</w:t>
            </w:r>
          </w:p>
        </w:tc>
        <w:tc>
          <w:tcPr>
            <w:tcW w:w="8078" w:type="dxa"/>
          </w:tcPr>
          <w:p w14:paraId="59ACA8DE" w14:textId="23C79C12" w:rsidR="003D2AA6" w:rsidRPr="003D2AA6" w:rsidRDefault="003D2AA6" w:rsidP="003D2AA6">
            <w:pPr>
              <w:spacing w:before="100" w:beforeAutospacing="1" w:after="100" w:afterAutospacing="1"/>
              <w:outlineLvl w:val="2"/>
              <w:rPr>
                <w:rFonts w:eastAsia="Times New Roman" w:cstheme="minorHAnsi"/>
                <w:sz w:val="24"/>
                <w:szCs w:val="24"/>
              </w:rPr>
            </w:pPr>
            <w:r w:rsidRPr="003D2AA6">
              <w:rPr>
                <w:rFonts w:eastAsia="Times New Roman" w:cstheme="minorHAnsi"/>
                <w:sz w:val="24"/>
                <w:szCs w:val="24"/>
              </w:rPr>
              <w:t>Caso 2: Conflicto Potencial. Un funcionario tiene familiares trabajando en una empresa que podría competir por un contrato en el futuro. Aunque aún no se ha tomado una decisión, el conflicto potencial está presente, ya que su vínculo podría influir más adelante</w:t>
            </w:r>
            <w:r w:rsidRPr="003D2AA6">
              <w:rPr>
                <w:rFonts w:eastAsia="Times New Roman" w:cstheme="minorHAnsi"/>
                <w:sz w:val="24"/>
                <w:szCs w:val="24"/>
              </w:rPr>
              <w:t>.</w:t>
            </w:r>
          </w:p>
        </w:tc>
        <w:tc>
          <w:tcPr>
            <w:tcW w:w="2268" w:type="dxa"/>
          </w:tcPr>
          <w:p w14:paraId="4FD71F85" w14:textId="459AD540" w:rsidR="003D2AA6" w:rsidRPr="003D2AA6" w:rsidRDefault="003D2AA6" w:rsidP="003D2AA6">
            <w:pPr>
              <w:spacing w:before="100" w:beforeAutospacing="1" w:after="100" w:afterAutospacing="1"/>
              <w:outlineLvl w:val="2"/>
              <w:rPr>
                <w:rFonts w:eastAsia="Times New Roman" w:cstheme="minorHAnsi"/>
                <w:b/>
                <w:bCs/>
                <w:sz w:val="24"/>
                <w:szCs w:val="24"/>
              </w:rPr>
            </w:pPr>
            <w:r w:rsidRPr="003D2AA6">
              <w:rPr>
                <w:rFonts w:eastAsia="Times New Roman" w:cstheme="minorHAnsi"/>
                <w:sz w:val="24"/>
                <w:szCs w:val="24"/>
              </w:rPr>
              <w:t>Conflicto Potencial</w:t>
            </w:r>
          </w:p>
        </w:tc>
      </w:tr>
      <w:tr w:rsidR="003D2AA6" w:rsidRPr="003D2AA6" w14:paraId="60A0F44C" w14:textId="77777777" w:rsidTr="003D2AA6">
        <w:tc>
          <w:tcPr>
            <w:tcW w:w="3116" w:type="dxa"/>
          </w:tcPr>
          <w:p w14:paraId="75DA962F" w14:textId="11758B4A" w:rsidR="003D2AA6" w:rsidRPr="003D2AA6" w:rsidRDefault="003D2AA6" w:rsidP="003D2AA6">
            <w:pPr>
              <w:spacing w:before="100" w:beforeAutospacing="1" w:after="100" w:afterAutospacing="1"/>
              <w:outlineLvl w:val="2"/>
              <w:rPr>
                <w:rFonts w:eastAsia="Times New Roman" w:cstheme="minorHAnsi"/>
                <w:sz w:val="24"/>
                <w:szCs w:val="24"/>
              </w:rPr>
            </w:pPr>
            <w:r w:rsidRPr="003D2AA6">
              <w:rPr>
                <w:rFonts w:eastAsia="Times New Roman" w:cstheme="minorHAnsi"/>
                <w:sz w:val="24"/>
                <w:szCs w:val="24"/>
              </w:rPr>
              <w:t>Imágenes de un funcionario participando en una reunión con un excompañero de trabajo o amigo cercano</w:t>
            </w:r>
          </w:p>
        </w:tc>
        <w:tc>
          <w:tcPr>
            <w:tcW w:w="8078" w:type="dxa"/>
          </w:tcPr>
          <w:p w14:paraId="5DC0812F" w14:textId="147DC04E" w:rsidR="003D2AA6" w:rsidRPr="003D2AA6" w:rsidRDefault="003D2AA6" w:rsidP="003D2AA6">
            <w:pPr>
              <w:spacing w:before="100" w:beforeAutospacing="1" w:after="100" w:afterAutospacing="1"/>
              <w:outlineLvl w:val="2"/>
              <w:rPr>
                <w:rFonts w:eastAsia="Times New Roman" w:cstheme="minorHAnsi"/>
                <w:sz w:val="24"/>
                <w:szCs w:val="24"/>
              </w:rPr>
            </w:pPr>
            <w:r w:rsidRPr="003D2AA6">
              <w:rPr>
                <w:rFonts w:eastAsia="Times New Roman" w:cstheme="minorHAnsi"/>
                <w:sz w:val="24"/>
                <w:szCs w:val="24"/>
              </w:rPr>
              <w:t>Caso 3: Conflicto Aparente. Aunque un funcionario no tiene un interés personal directo, su participación en una reunión con un excompañero cercano podría generar la percepción de que existe un conflicto, incluso cuando no lo haya. Es importante aclarar esta situación para evitar malentendidos</w:t>
            </w:r>
            <w:r w:rsidRPr="003D2AA6">
              <w:rPr>
                <w:rFonts w:eastAsia="Times New Roman" w:cstheme="minorHAnsi"/>
                <w:sz w:val="24"/>
                <w:szCs w:val="24"/>
              </w:rPr>
              <w:t>.</w:t>
            </w:r>
          </w:p>
        </w:tc>
        <w:tc>
          <w:tcPr>
            <w:tcW w:w="2268" w:type="dxa"/>
          </w:tcPr>
          <w:p w14:paraId="3D28C882" w14:textId="6C4F2BA2" w:rsidR="003D2AA6" w:rsidRPr="003D2AA6" w:rsidRDefault="003D2AA6" w:rsidP="003D2AA6">
            <w:pPr>
              <w:spacing w:before="100" w:beforeAutospacing="1" w:after="100" w:afterAutospacing="1"/>
              <w:outlineLvl w:val="2"/>
              <w:rPr>
                <w:rFonts w:eastAsia="Times New Roman" w:cstheme="minorHAnsi"/>
                <w:b/>
                <w:bCs/>
                <w:sz w:val="24"/>
                <w:szCs w:val="24"/>
              </w:rPr>
            </w:pPr>
            <w:r w:rsidRPr="003D2AA6">
              <w:rPr>
                <w:rFonts w:eastAsia="Times New Roman" w:cstheme="minorHAnsi"/>
                <w:sz w:val="24"/>
                <w:szCs w:val="24"/>
              </w:rPr>
              <w:t>Conflicto Aparente</w:t>
            </w:r>
          </w:p>
        </w:tc>
      </w:tr>
      <w:tr w:rsidR="003D2AA6" w:rsidRPr="003D2AA6" w14:paraId="04B25268" w14:textId="77777777" w:rsidTr="003D2AA6">
        <w:tc>
          <w:tcPr>
            <w:tcW w:w="3116" w:type="dxa"/>
          </w:tcPr>
          <w:p w14:paraId="19C8F5FB" w14:textId="5902E5E6" w:rsidR="003D2AA6" w:rsidRPr="003D2AA6" w:rsidRDefault="003D2AA6" w:rsidP="003D2AA6">
            <w:pPr>
              <w:spacing w:before="100" w:beforeAutospacing="1" w:after="100" w:afterAutospacing="1"/>
              <w:outlineLvl w:val="2"/>
              <w:rPr>
                <w:rFonts w:eastAsia="Times New Roman" w:cstheme="minorHAnsi"/>
                <w:sz w:val="24"/>
                <w:szCs w:val="24"/>
              </w:rPr>
            </w:pPr>
            <w:r w:rsidRPr="003D2AA6">
              <w:rPr>
                <w:rFonts w:eastAsia="Times New Roman" w:cstheme="minorHAnsi"/>
                <w:sz w:val="24"/>
                <w:szCs w:val="24"/>
              </w:rPr>
              <w:t>El Líder vuelve a la cámara con un mensaje clave</w:t>
            </w:r>
          </w:p>
        </w:tc>
        <w:tc>
          <w:tcPr>
            <w:tcW w:w="8078" w:type="dxa"/>
          </w:tcPr>
          <w:p w14:paraId="4D916703" w14:textId="2D2ABDF5" w:rsidR="003D2AA6" w:rsidRPr="003D2AA6" w:rsidRDefault="003D2AA6" w:rsidP="003D2AA6">
            <w:pPr>
              <w:spacing w:before="100" w:beforeAutospacing="1" w:after="100" w:afterAutospacing="1"/>
              <w:outlineLvl w:val="2"/>
              <w:rPr>
                <w:rFonts w:eastAsia="Times New Roman" w:cstheme="minorHAnsi"/>
                <w:sz w:val="24"/>
                <w:szCs w:val="24"/>
              </w:rPr>
            </w:pPr>
            <w:r w:rsidRPr="003D2AA6">
              <w:rPr>
                <w:rFonts w:eastAsia="Times New Roman" w:cstheme="minorHAnsi"/>
                <w:sz w:val="24"/>
                <w:szCs w:val="24"/>
              </w:rPr>
              <w:t>Identificar estos conflictos es fundamental para garantizar decisiones imparciales y fortalecer la confianza pública. Si te encuentras en una situación de conflicto de interés, ¡declararlo es el primer paso para actuar con transparencia!</w:t>
            </w:r>
          </w:p>
        </w:tc>
        <w:tc>
          <w:tcPr>
            <w:tcW w:w="2268" w:type="dxa"/>
          </w:tcPr>
          <w:p w14:paraId="5E29CD35" w14:textId="0903588F" w:rsidR="003D2AA6" w:rsidRPr="003D2AA6" w:rsidRDefault="003D2AA6" w:rsidP="003D2AA6">
            <w:pPr>
              <w:spacing w:before="100" w:beforeAutospacing="1" w:after="100" w:afterAutospacing="1"/>
              <w:outlineLvl w:val="2"/>
              <w:rPr>
                <w:rFonts w:eastAsia="Times New Roman" w:cstheme="minorHAnsi"/>
                <w:b/>
                <w:bCs/>
                <w:sz w:val="24"/>
                <w:szCs w:val="24"/>
              </w:rPr>
            </w:pPr>
            <w:r w:rsidRPr="003D2AA6">
              <w:rPr>
                <w:rFonts w:eastAsia="Times New Roman" w:cstheme="minorHAnsi"/>
                <w:sz w:val="24"/>
                <w:szCs w:val="24"/>
              </w:rPr>
              <w:t>¡</w:t>
            </w:r>
            <w:r>
              <w:rPr>
                <w:rFonts w:eastAsia="Times New Roman" w:cstheme="minorHAnsi"/>
                <w:sz w:val="24"/>
                <w:szCs w:val="24"/>
              </w:rPr>
              <w:t>D</w:t>
            </w:r>
            <w:r w:rsidRPr="003D2AA6">
              <w:rPr>
                <w:rFonts w:eastAsia="Times New Roman" w:cstheme="minorHAnsi"/>
                <w:sz w:val="24"/>
                <w:szCs w:val="24"/>
              </w:rPr>
              <w:t>eclararlo es el primer paso para actuar con transparencia!</w:t>
            </w:r>
          </w:p>
        </w:tc>
      </w:tr>
      <w:tr w:rsidR="003D2AA6" w:rsidRPr="003D2AA6" w14:paraId="70443DC4" w14:textId="77777777" w:rsidTr="003D2AA6">
        <w:tc>
          <w:tcPr>
            <w:tcW w:w="3116" w:type="dxa"/>
          </w:tcPr>
          <w:p w14:paraId="481025B0" w14:textId="0FCA28F8" w:rsidR="003D2AA6" w:rsidRPr="003D2AA6" w:rsidRDefault="003D2AA6" w:rsidP="003D2AA6">
            <w:pPr>
              <w:spacing w:before="100" w:beforeAutospacing="1" w:after="100" w:afterAutospacing="1"/>
              <w:outlineLvl w:val="2"/>
              <w:rPr>
                <w:rFonts w:eastAsia="Times New Roman" w:cstheme="minorHAnsi"/>
                <w:sz w:val="24"/>
                <w:szCs w:val="24"/>
              </w:rPr>
            </w:pPr>
            <w:r w:rsidRPr="003D2AA6">
              <w:rPr>
                <w:rFonts w:eastAsia="Times New Roman" w:cstheme="minorHAnsi"/>
                <w:sz w:val="24"/>
                <w:szCs w:val="24"/>
              </w:rPr>
              <w:t>Texto en pantalla con el enlace a la plataforma de declaración de conflictos de interés</w:t>
            </w:r>
          </w:p>
        </w:tc>
        <w:tc>
          <w:tcPr>
            <w:tcW w:w="8078" w:type="dxa"/>
          </w:tcPr>
          <w:p w14:paraId="2E82BCD6" w14:textId="6D77DD5E" w:rsidR="003D2AA6" w:rsidRPr="003D2AA6" w:rsidRDefault="003D2AA6" w:rsidP="003D2AA6">
            <w:pPr>
              <w:spacing w:before="100" w:beforeAutospacing="1" w:after="100" w:afterAutospacing="1"/>
              <w:outlineLvl w:val="2"/>
              <w:rPr>
                <w:rFonts w:eastAsia="Times New Roman" w:cstheme="minorHAnsi"/>
                <w:sz w:val="24"/>
                <w:szCs w:val="24"/>
              </w:rPr>
            </w:pPr>
            <w:r w:rsidRPr="003D2AA6">
              <w:rPr>
                <w:rFonts w:eastAsia="Times New Roman" w:cstheme="minorHAnsi"/>
                <w:sz w:val="24"/>
                <w:szCs w:val="24"/>
              </w:rPr>
              <w:t>Recuerda, la integridad comienza con la declaración. Actúa con responsabilidad y cumple con tus deberes</w:t>
            </w:r>
          </w:p>
        </w:tc>
        <w:tc>
          <w:tcPr>
            <w:tcW w:w="2268" w:type="dxa"/>
          </w:tcPr>
          <w:p w14:paraId="689326CC" w14:textId="5366B534" w:rsidR="003D2AA6" w:rsidRPr="003D2AA6" w:rsidRDefault="003D2AA6" w:rsidP="003D2AA6">
            <w:pPr>
              <w:spacing w:before="100" w:beforeAutospacing="1" w:after="100" w:afterAutospacing="1"/>
              <w:outlineLvl w:val="2"/>
              <w:rPr>
                <w:rFonts w:eastAsia="Times New Roman" w:cstheme="minorHAnsi"/>
                <w:b/>
                <w:bCs/>
                <w:sz w:val="24"/>
                <w:szCs w:val="24"/>
              </w:rPr>
            </w:pPr>
            <w:r w:rsidRPr="003D2AA6">
              <w:rPr>
                <w:rFonts w:eastAsia="Times New Roman" w:cstheme="minorHAnsi"/>
                <w:sz w:val="24"/>
                <w:szCs w:val="24"/>
              </w:rPr>
              <w:t>Actúa con responsabilidad y cumple con tus deberes</w:t>
            </w:r>
          </w:p>
        </w:tc>
      </w:tr>
    </w:tbl>
    <w:p w14:paraId="01EB5712" w14:textId="77777777" w:rsidR="003D4B00" w:rsidRPr="003D2AA6" w:rsidRDefault="003D4B00">
      <w:pPr>
        <w:rPr>
          <w:rFonts w:cstheme="minorHAnsi"/>
          <w:sz w:val="24"/>
          <w:szCs w:val="24"/>
        </w:rPr>
      </w:pPr>
    </w:p>
    <w:sectPr w:rsidR="003D4B00" w:rsidRPr="003D2AA6" w:rsidSect="003D2AA6">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AA6"/>
    <w:rsid w:val="003D2AA6"/>
    <w:rsid w:val="003D4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AA3DC"/>
  <w15:chartTrackingRefBased/>
  <w15:docId w15:val="{11D8E3C9-AD8E-430C-920E-1A7937B75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CO"/>
    </w:rPr>
  </w:style>
  <w:style w:type="paragraph" w:styleId="Ttulo3">
    <w:name w:val="heading 3"/>
    <w:basedOn w:val="Normal"/>
    <w:link w:val="Ttulo3Car"/>
    <w:uiPriority w:val="9"/>
    <w:qFormat/>
    <w:rsid w:val="003D2AA6"/>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3D2AA6"/>
    <w:rPr>
      <w:rFonts w:ascii="Times New Roman" w:eastAsia="Times New Roman" w:hAnsi="Times New Roman" w:cs="Times New Roman"/>
      <w:b/>
      <w:bCs/>
      <w:sz w:val="27"/>
      <w:szCs w:val="27"/>
    </w:rPr>
  </w:style>
  <w:style w:type="character" w:styleId="Textoennegrita">
    <w:name w:val="Strong"/>
    <w:basedOn w:val="Fuentedeprrafopredeter"/>
    <w:uiPriority w:val="22"/>
    <w:qFormat/>
    <w:rsid w:val="003D2AA6"/>
    <w:rPr>
      <w:b/>
      <w:bCs/>
    </w:rPr>
  </w:style>
  <w:style w:type="paragraph" w:styleId="NormalWeb">
    <w:name w:val="Normal (Web)"/>
    <w:basedOn w:val="Normal"/>
    <w:uiPriority w:val="99"/>
    <w:semiHidden/>
    <w:unhideWhenUsed/>
    <w:rsid w:val="003D2AA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nfasis">
    <w:name w:val="Emphasis"/>
    <w:basedOn w:val="Fuentedeprrafopredeter"/>
    <w:uiPriority w:val="20"/>
    <w:qFormat/>
    <w:rsid w:val="003D2AA6"/>
    <w:rPr>
      <w:i/>
      <w:iCs/>
    </w:rPr>
  </w:style>
  <w:style w:type="table" w:styleId="Tablaconcuadrcula">
    <w:name w:val="Table Grid"/>
    <w:basedOn w:val="Tablanormal"/>
    <w:uiPriority w:val="39"/>
    <w:rsid w:val="003D2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98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333</Words>
  <Characters>1904</Characters>
  <Application>Microsoft Office Word</Application>
  <DocSecurity>0</DocSecurity>
  <Lines>15</Lines>
  <Paragraphs>4</Paragraphs>
  <ScaleCrop>false</ScaleCrop>
  <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 Urriago Motato</dc:creator>
  <cp:keywords/>
  <dc:description/>
  <cp:lastModifiedBy>Clau Urriago Motato</cp:lastModifiedBy>
  <cp:revision>1</cp:revision>
  <dcterms:created xsi:type="dcterms:W3CDTF">2025-04-03T17:05:00Z</dcterms:created>
  <dcterms:modified xsi:type="dcterms:W3CDTF">2025-04-03T17:13:00Z</dcterms:modified>
</cp:coreProperties>
</file>